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2" w:rsidRDefault="00362AA2" w:rsidP="00362AA2">
      <w:pPr>
        <w:pStyle w:val="Nzov"/>
        <w:spacing w:before="0" w:line="240" w:lineRule="auto"/>
        <w:jc w:val="left"/>
      </w:pPr>
      <w:r>
        <w:t>Stredná odborná škola technická, Okružná 693, 022 01 Č a d c a</w:t>
      </w:r>
    </w:p>
    <w:p w:rsidR="00362AA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="00633406">
        <w:rPr>
          <w:b w:val="0"/>
          <w:sz w:val="22"/>
          <w:szCs w:val="22"/>
          <w:u w:val="none"/>
        </w:rPr>
        <w:t>Čadca 20.01.2018</w:t>
      </w:r>
    </w:p>
    <w:p w:rsidR="00362AA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362AA2" w:rsidRPr="001E2EAF" w:rsidRDefault="00362AA2" w:rsidP="00362AA2">
      <w:pPr>
        <w:pStyle w:val="Nzov"/>
        <w:spacing w:before="0" w:line="240" w:lineRule="auto"/>
        <w:rPr>
          <w:sz w:val="24"/>
          <w:szCs w:val="24"/>
        </w:rPr>
      </w:pPr>
      <w:r w:rsidRPr="001E2EAF">
        <w:rPr>
          <w:sz w:val="24"/>
          <w:szCs w:val="24"/>
        </w:rPr>
        <w:t>K R I T É R I A</w:t>
      </w:r>
    </w:p>
    <w:p w:rsidR="00362AA2" w:rsidRPr="001E2EAF" w:rsidRDefault="00362AA2" w:rsidP="00362AA2">
      <w:pPr>
        <w:pStyle w:val="Nzov"/>
        <w:spacing w:before="0" w:line="240" w:lineRule="auto"/>
        <w:rPr>
          <w:sz w:val="24"/>
          <w:szCs w:val="24"/>
        </w:rPr>
      </w:pPr>
      <w:r w:rsidRPr="001E2EAF">
        <w:rPr>
          <w:sz w:val="24"/>
          <w:szCs w:val="24"/>
        </w:rPr>
        <w:t>pre prijímanie uchádzačov na trojročné štúdium do</w:t>
      </w:r>
      <w:r w:rsidR="00633406">
        <w:rPr>
          <w:sz w:val="24"/>
          <w:szCs w:val="24"/>
        </w:rPr>
        <w:t xml:space="preserve"> 1. ročníka pre školský rok 2018</w:t>
      </w:r>
      <w:r w:rsidRPr="001E2EAF">
        <w:rPr>
          <w:sz w:val="24"/>
          <w:szCs w:val="24"/>
        </w:rPr>
        <w:t>/201</w:t>
      </w:r>
      <w:r w:rsidR="00633406">
        <w:rPr>
          <w:sz w:val="24"/>
          <w:szCs w:val="24"/>
        </w:rPr>
        <w:t>9</w:t>
      </w:r>
      <w:r w:rsidRPr="001E2EAF">
        <w:rPr>
          <w:sz w:val="24"/>
          <w:szCs w:val="24"/>
        </w:rPr>
        <w:t>.</w:t>
      </w:r>
    </w:p>
    <w:p w:rsidR="00362AA2" w:rsidRDefault="00362AA2" w:rsidP="00362AA2">
      <w:pPr>
        <w:pStyle w:val="Nzov"/>
        <w:spacing w:before="0" w:line="240" w:lineRule="auto"/>
        <w:jc w:val="left"/>
      </w:pPr>
    </w:p>
    <w:p w:rsidR="00362AA2" w:rsidRPr="00EF0FF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 w:rsidRPr="00513CE9">
        <w:rPr>
          <w:b w:val="0"/>
          <w:color w:val="FF0000"/>
          <w:sz w:val="22"/>
          <w:szCs w:val="22"/>
          <w:u w:val="none"/>
        </w:rPr>
        <w:t xml:space="preserve">     </w:t>
      </w:r>
      <w:r w:rsidRPr="00EF0FF2">
        <w:rPr>
          <w:b w:val="0"/>
          <w:sz w:val="22"/>
          <w:szCs w:val="22"/>
          <w:u w:val="none"/>
        </w:rPr>
        <w:t xml:space="preserve">Riaditeľ SOŠ technickej v Čadci v súlade so zákonom č. 245/2008  Z. z. o výchove a vzdelávaní (školský zákon) a o zmene a doplnení niektorých zákonov, po prerokovaní v pedagogickej rade určuje tieto kritériá pre prijímanie : </w:t>
      </w:r>
    </w:p>
    <w:p w:rsidR="00362AA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1. Termíny prijímacích skúšok:</w:t>
      </w:r>
    </w:p>
    <w:p w:rsidR="00362AA2" w:rsidRDefault="004F4F3D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I. termín: 14</w:t>
      </w:r>
      <w:r w:rsidR="00362AA2">
        <w:rPr>
          <w:b w:val="0"/>
          <w:sz w:val="22"/>
          <w:szCs w:val="22"/>
          <w:u w:val="none"/>
        </w:rPr>
        <w:t>. máj 201</w:t>
      </w:r>
      <w:r w:rsidR="00550B1C">
        <w:rPr>
          <w:b w:val="0"/>
          <w:sz w:val="22"/>
          <w:szCs w:val="22"/>
          <w:u w:val="none"/>
        </w:rPr>
        <w:t>8</w:t>
      </w:r>
      <w:r w:rsidR="00362AA2">
        <w:rPr>
          <w:b w:val="0"/>
          <w:sz w:val="22"/>
          <w:szCs w:val="22"/>
          <w:u w:val="none"/>
        </w:rPr>
        <w:t xml:space="preserve"> (</w:t>
      </w:r>
      <w:r w:rsidR="00550B1C">
        <w:rPr>
          <w:b w:val="0"/>
          <w:sz w:val="22"/>
          <w:szCs w:val="22"/>
          <w:u w:val="none"/>
        </w:rPr>
        <w:t>pondel</w:t>
      </w:r>
      <w:r w:rsidR="00362AA2">
        <w:rPr>
          <w:b w:val="0"/>
          <w:sz w:val="22"/>
          <w:szCs w:val="22"/>
          <w:u w:val="none"/>
        </w:rPr>
        <w:t>ok)</w:t>
      </w:r>
    </w:p>
    <w:p w:rsidR="00362AA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II. termín: 1</w:t>
      </w:r>
      <w:r w:rsidR="004F4F3D">
        <w:rPr>
          <w:b w:val="0"/>
          <w:sz w:val="22"/>
          <w:szCs w:val="22"/>
          <w:u w:val="none"/>
        </w:rPr>
        <w:t>7</w:t>
      </w:r>
      <w:r>
        <w:rPr>
          <w:b w:val="0"/>
          <w:sz w:val="22"/>
          <w:szCs w:val="22"/>
          <w:u w:val="none"/>
        </w:rPr>
        <w:t>. máj 201</w:t>
      </w:r>
      <w:r w:rsidR="00550B1C">
        <w:rPr>
          <w:b w:val="0"/>
          <w:sz w:val="22"/>
          <w:szCs w:val="22"/>
          <w:u w:val="none"/>
        </w:rPr>
        <w:t>8</w:t>
      </w:r>
      <w:r>
        <w:rPr>
          <w:b w:val="0"/>
          <w:sz w:val="22"/>
          <w:szCs w:val="22"/>
          <w:u w:val="none"/>
        </w:rPr>
        <w:t xml:space="preserve"> (štvrtok)</w:t>
      </w:r>
    </w:p>
    <w:p w:rsidR="00362AA2" w:rsidRDefault="00362AA2" w:rsidP="00362AA2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2. Plán výkonov:</w:t>
      </w:r>
    </w:p>
    <w:tbl>
      <w:tblPr>
        <w:tblStyle w:val="Mriekatabuky"/>
        <w:tblW w:w="9214" w:type="dxa"/>
        <w:tblInd w:w="250" w:type="dxa"/>
        <w:tblLayout w:type="fixed"/>
        <w:tblLook w:val="04A0"/>
      </w:tblPr>
      <w:tblGrid>
        <w:gridCol w:w="3969"/>
        <w:gridCol w:w="1276"/>
        <w:gridCol w:w="1276"/>
        <w:gridCol w:w="1417"/>
        <w:gridCol w:w="1276"/>
      </w:tblGrid>
      <w:tr w:rsidR="00362AA2" w:rsidTr="007030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A2" w:rsidRPr="006311BE" w:rsidRDefault="00362AA2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</w:rPr>
              <w:t xml:space="preserve"> </w:t>
            </w:r>
            <w:r w:rsidRPr="006311BE">
              <w:rPr>
                <w:b w:val="0"/>
                <w:i/>
                <w:sz w:val="20"/>
                <w:u w:val="none"/>
                <w:lang w:eastAsia="en-US"/>
              </w:rPr>
              <w:t>Názov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A2" w:rsidRPr="006311BE" w:rsidRDefault="00362AA2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Kód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A2" w:rsidRPr="006311BE" w:rsidRDefault="00362AA2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Dĺžka štúdia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A2" w:rsidRPr="006311BE" w:rsidRDefault="00362AA2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Počet tried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A2" w:rsidRPr="006311BE" w:rsidRDefault="00362AA2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Počet žiakov</w:t>
            </w:r>
          </w:p>
        </w:tc>
      </w:tr>
      <w:tr w:rsidR="00550B1C" w:rsidTr="00C352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obrábač kovov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2433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60</w:t>
            </w:r>
          </w:p>
        </w:tc>
      </w:tr>
      <w:tr w:rsidR="00550B1C" w:rsidTr="00C352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strojný mechanik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2464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</w:tr>
      <w:tr w:rsidR="00550B1C" w:rsidTr="00C352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proofErr w:type="spellStart"/>
            <w:r>
              <w:rPr>
                <w:b w:val="0"/>
                <w:sz w:val="22"/>
                <w:u w:val="none"/>
                <w:lang w:eastAsia="en-US"/>
              </w:rPr>
              <w:t>autoopravár</w:t>
            </w:r>
            <w:proofErr w:type="spellEnd"/>
            <w:r>
              <w:rPr>
                <w:b w:val="0"/>
                <w:sz w:val="22"/>
                <w:u w:val="none"/>
                <w:lang w:eastAsia="en-US"/>
              </w:rPr>
              <w:t xml:space="preserve"> - mechanik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2487 H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</w:tr>
      <w:tr w:rsidR="00550B1C" w:rsidTr="00C352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elektromechanik – silnoprúdová technika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2683 H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</w:tr>
      <w:tr w:rsidR="00550B1C" w:rsidTr="00C352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inštalatér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3678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1C" w:rsidRDefault="00550B1C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</w:p>
        </w:tc>
      </w:tr>
    </w:tbl>
    <w:p w:rsidR="00362AA2" w:rsidRDefault="00362AA2" w:rsidP="00362AA2">
      <w:pPr>
        <w:pStyle w:val="Nzov"/>
        <w:spacing w:before="0" w:line="240" w:lineRule="auto"/>
        <w:ind w:hanging="142"/>
        <w:jc w:val="both"/>
        <w:rPr>
          <w:i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40" w:lineRule="auto"/>
        <w:ind w:hanging="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3. Podmienky prijatia uchádzačov bez prijímacej skúšky.</w:t>
      </w:r>
    </w:p>
    <w:p w:rsidR="00362AA2" w:rsidRDefault="00362AA2" w:rsidP="00362AA2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žiaci, ktorí v celoslovenskom testovaní žiakov 9. ročníka ZŠ dosiahnu v každom predmete samostatne úspešnosť najmenej 90% budú prijatí prednostne</w:t>
      </w:r>
    </w:p>
    <w:p w:rsidR="00362AA2" w:rsidRDefault="00362AA2" w:rsidP="00362AA2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za polrok 9. ročníka (bez výchov)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0 - 30 bodov</w:t>
      </w:r>
    </w:p>
    <w:p w:rsidR="00362AA2" w:rsidRDefault="00362AA2" w:rsidP="00362AA2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Testovania 9 zo SJL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0 - 30 bodov</w:t>
      </w:r>
    </w:p>
    <w:p w:rsidR="00362AA2" w:rsidRDefault="00362AA2" w:rsidP="00362AA2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Testovania 9 z MAT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0 - 30 bodov</w:t>
      </w:r>
    </w:p>
    <w:p w:rsidR="00362AA2" w:rsidRDefault="00362AA2" w:rsidP="00362AA2">
      <w:pPr>
        <w:pStyle w:val="Nzov"/>
        <w:spacing w:before="0" w:line="240" w:lineRule="auto"/>
        <w:ind w:left="72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spolu maximum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90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Poradie uchádzačov bude dané súčtom všetkých bodov. Prijatých bude 100% uchádzačov z počtu voľných miest.</w:t>
      </w:r>
    </w:p>
    <w:p w:rsidR="00362AA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zo ZŠ: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position w:val="-10"/>
          <w:sz w:val="22"/>
          <w:szCs w:val="22"/>
          <w:u w:val="none"/>
        </w:rPr>
        <w:object w:dxaOrig="10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5" o:title=""/>
          </v:shape>
          <o:OLEObject Type="Embed" ProgID="Equation.3" ShapeID="_x0000_i1025" DrawAspect="Content" ObjectID="_1581919655" r:id="rId6"/>
        </w:object>
      </w:r>
      <w:r>
        <w:rPr>
          <w:sz w:val="22"/>
          <w:szCs w:val="22"/>
          <w:u w:val="none"/>
        </w:rPr>
        <w:t>)</w:t>
      </w:r>
      <w:r>
        <w:rPr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>- 30 bodov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26" type="#_x0000_t75" style="width:60.75pt;height:15.75pt" o:ole="">
            <v:imagedata r:id="rId7" o:title=""/>
          </v:shape>
          <o:OLEObject Type="Embed" ProgID="Equation.3" ShapeID="_x0000_i1026" DrawAspect="Content" ObjectID="_1581919656" r:id="rId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- 15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095" w:dyaOrig="315">
          <v:shape id="_x0000_i1027" type="#_x0000_t75" style="width:54.75pt;height:15.75pt" o:ole="">
            <v:imagedata r:id="rId9" o:title=""/>
          </v:shape>
          <o:OLEObject Type="Embed" ProgID="Equation.3" ShapeID="_x0000_i1027" DrawAspect="Content" ObjectID="_1581919657" r:id="rId1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- 29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28" type="#_x0000_t75" style="width:60.75pt;height:15.75pt" o:ole="">
            <v:imagedata r:id="rId11" o:title=""/>
          </v:shape>
          <o:OLEObject Type="Embed" ProgID="Equation.3" ShapeID="_x0000_i1028" DrawAspect="Content" ObjectID="_1581919658" r:id="rId1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- 14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29" type="#_x0000_t75" style="width:56.25pt;height:15.75pt" o:ole="">
            <v:imagedata r:id="rId13" o:title=""/>
          </v:shape>
          <o:OLEObject Type="Embed" ProgID="Equation.3" ShapeID="_x0000_i1029" DrawAspect="Content" ObjectID="_1581919659" r:id="rId1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- 28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0" type="#_x0000_t75" style="width:60pt;height:15.75pt" o:ole="">
            <v:imagedata r:id="rId15" o:title=""/>
          </v:shape>
          <o:OLEObject Type="Embed" ProgID="Equation.3" ShapeID="_x0000_i1030" DrawAspect="Content" ObjectID="_1581919660" r:id="rId1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- 13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1" type="#_x0000_t75" style="width:56.25pt;height:15.75pt" o:ole="">
            <v:imagedata r:id="rId17" o:title=""/>
          </v:shape>
          <o:OLEObject Type="Embed" ProgID="Equation.3" ShapeID="_x0000_i1031" DrawAspect="Content" ObjectID="_1581919661" r:id="rId1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- 27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2" type="#_x0000_t75" style="width:60pt;height:15.75pt" o:ole="">
            <v:imagedata r:id="rId19" o:title=""/>
          </v:shape>
          <o:OLEObject Type="Embed" ProgID="Equation.3" ShapeID="_x0000_i1032" DrawAspect="Content" ObjectID="_1581919662" r:id="rId2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- 12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3" type="#_x0000_t75" style="width:56.25pt;height:15.75pt" o:ole="">
            <v:imagedata r:id="rId21" o:title=""/>
          </v:shape>
          <o:OLEObject Type="Embed" ProgID="Equation.3" ShapeID="_x0000_i1033" DrawAspect="Content" ObjectID="_1581919663" r:id="rId2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- 26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4" type="#_x0000_t75" style="width:60pt;height:15.75pt" o:ole="">
            <v:imagedata r:id="rId23" o:title=""/>
          </v:shape>
          <o:OLEObject Type="Embed" ProgID="Equation.3" ShapeID="_x0000_i1034" DrawAspect="Content" ObjectID="_1581919664" r:id="rId2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- 11 bodov</w:t>
      </w:r>
    </w:p>
    <w:p w:rsidR="00362AA2" w:rsidRDefault="00362AA2" w:rsidP="00362AA2">
      <w:pPr>
        <w:pStyle w:val="Nzov"/>
        <w:spacing w:before="0" w:line="240" w:lineRule="auto"/>
        <w:ind w:firstLine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5" type="#_x0000_t75" style="width:56.25pt;height:15.75pt" o:ole="">
            <v:imagedata r:id="rId25" o:title=""/>
          </v:shape>
          <o:OLEObject Type="Embed" ProgID="Equation.3" ShapeID="_x0000_i1035" DrawAspect="Content" ObjectID="_1581919665" r:id="rId2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- 25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36" type="#_x0000_t75" style="width:57.75pt;height:15.75pt" o:ole="">
            <v:imagedata r:id="rId27" o:title=""/>
          </v:shape>
          <o:OLEObject Type="Embed" ProgID="Equation.3" ShapeID="_x0000_i1036" DrawAspect="Content" ObjectID="_1581919666" r:id="rId2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- 10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7" type="#_x0000_t75" style="width:56.25pt;height:15.75pt" o:ole="">
            <v:imagedata r:id="rId29" o:title=""/>
          </v:shape>
          <o:OLEObject Type="Embed" ProgID="Equation.3" ShapeID="_x0000_i1037" DrawAspect="Content" ObjectID="_1581919667" r:id="rId3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- 24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38" type="#_x0000_t75" style="width:57.75pt;height:15.75pt" o:ole="">
            <v:imagedata r:id="rId31" o:title=""/>
          </v:shape>
          <o:OLEObject Type="Embed" ProgID="Equation.3" ShapeID="_x0000_i1038" DrawAspect="Content" ObjectID="_1581919668" r:id="rId3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9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9" type="#_x0000_t75" style="width:56.25pt;height:15.75pt" o:ole="">
            <v:imagedata r:id="rId33" o:title=""/>
          </v:shape>
          <o:OLEObject Type="Embed" ProgID="Equation.3" ShapeID="_x0000_i1039" DrawAspect="Content" ObjectID="_1581919669" r:id="rId3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- 23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0" type="#_x0000_t75" style="width:59.25pt;height:15.75pt" o:ole="">
            <v:imagedata r:id="rId35" o:title=""/>
          </v:shape>
          <o:OLEObject Type="Embed" ProgID="Equation.3" ShapeID="_x0000_i1040" DrawAspect="Content" ObjectID="_1581919670" r:id="rId3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8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41" type="#_x0000_t75" style="width:56.25pt;height:15.75pt" o:ole="">
            <v:imagedata r:id="rId37" o:title=""/>
          </v:shape>
          <o:OLEObject Type="Embed" ProgID="Equation.3" ShapeID="_x0000_i1041" DrawAspect="Content" ObjectID="_1581919671" r:id="rId3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- 22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2" type="#_x0000_t75" style="width:59.25pt;height:15.75pt" o:ole="">
            <v:imagedata r:id="rId39" o:title=""/>
          </v:shape>
          <o:OLEObject Type="Embed" ProgID="Equation.3" ShapeID="_x0000_i1042" DrawAspect="Content" ObjectID="_1581919672" r:id="rId4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7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43" type="#_x0000_t75" style="width:57.75pt;height:15.75pt" o:ole="">
            <v:imagedata r:id="rId41" o:title=""/>
          </v:shape>
          <o:OLEObject Type="Embed" ProgID="Equation.3" ShapeID="_x0000_i1043" DrawAspect="Content" ObjectID="_1581919673" r:id="rId4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- 21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4" type="#_x0000_t75" style="width:59.25pt;height:15.75pt" o:ole="">
            <v:imagedata r:id="rId43" o:title=""/>
          </v:shape>
          <o:OLEObject Type="Embed" ProgID="Equation.3" ShapeID="_x0000_i1044" DrawAspect="Content" ObjectID="_1581919674" r:id="rId4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6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45" type="#_x0000_t75" style="width:60pt;height:15.75pt" o:ole="">
            <v:imagedata r:id="rId45" o:title=""/>
          </v:shape>
          <o:OLEObject Type="Embed" ProgID="Equation.3" ShapeID="_x0000_i1045" DrawAspect="Content" ObjectID="_1581919675" r:id="rId4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- 20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6" type="#_x0000_t75" style="width:59.25pt;height:15.75pt" o:ole="">
            <v:imagedata r:id="rId47" o:title=""/>
          </v:shape>
          <o:OLEObject Type="Embed" ProgID="Equation.3" ShapeID="_x0000_i1046" DrawAspect="Content" ObjectID="_1581919676" r:id="rId4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5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47" type="#_x0000_t75" style="width:60pt;height:15.75pt" o:ole="">
            <v:imagedata r:id="rId49" o:title=""/>
          </v:shape>
          <o:OLEObject Type="Embed" ProgID="Equation.3" ShapeID="_x0000_i1047" DrawAspect="Content" ObjectID="_1581919677" r:id="rId5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- 19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8" type="#_x0000_t75" style="width:59.25pt;height:15.75pt" o:ole="">
            <v:imagedata r:id="rId51" o:title=""/>
          </v:shape>
          <o:OLEObject Type="Embed" ProgID="Equation.3" ShapeID="_x0000_i1048" DrawAspect="Content" ObjectID="_1581919678" r:id="rId5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4 body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49" type="#_x0000_t75" style="width:60.75pt;height:15.75pt" o:ole="">
            <v:imagedata r:id="rId53" o:title=""/>
          </v:shape>
          <o:OLEObject Type="Embed" ProgID="Equation.3" ShapeID="_x0000_i1049" DrawAspect="Content" ObjectID="_1581919679" r:id="rId5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- 18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0" type="#_x0000_t75" style="width:59.25pt;height:15.75pt" o:ole="">
            <v:imagedata r:id="rId55" o:title=""/>
          </v:shape>
          <o:OLEObject Type="Embed" ProgID="Equation.3" ShapeID="_x0000_i1050" DrawAspect="Content" ObjectID="_1581919680" r:id="rId5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3 body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51" type="#_x0000_t75" style="width:60.75pt;height:15.75pt" o:ole="">
            <v:imagedata r:id="rId57" o:title=""/>
          </v:shape>
          <o:OLEObject Type="Embed" ProgID="Equation.3" ShapeID="_x0000_i1051" DrawAspect="Content" ObjectID="_1581919681" r:id="rId5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- 17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2" type="#_x0000_t75" style="width:59.25pt;height:15.75pt" o:ole="">
            <v:imagedata r:id="rId59" o:title=""/>
          </v:shape>
          <o:OLEObject Type="Embed" ProgID="Equation.3" ShapeID="_x0000_i1052" DrawAspect="Content" ObjectID="_1581919682" r:id="rId6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2 body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53" type="#_x0000_t75" style="width:60.75pt;height:15.75pt" o:ole="">
            <v:imagedata r:id="rId61" o:title=""/>
          </v:shape>
          <o:OLEObject Type="Embed" ProgID="Equation.3" ShapeID="_x0000_i1053" DrawAspect="Content" ObjectID="_1581919683" r:id="rId6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- 16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4" type="#_x0000_t75" style="width:59.25pt;height:15.75pt" o:ole="">
            <v:imagedata r:id="rId63" o:title=""/>
          </v:shape>
          <o:OLEObject Type="Embed" ProgID="Equation.3" ShapeID="_x0000_i1054" DrawAspect="Content" ObjectID="_1581919684" r:id="rId6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0 bodov</w:t>
      </w:r>
    </w:p>
    <w:p w:rsidR="00362AA2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65" w:dyaOrig="315">
          <v:shape id="_x0000_i1055" type="#_x0000_t75" style="width:8.25pt;height:15.75pt" o:ole="">
            <v:imagedata r:id="rId65" o:title=""/>
          </v:shape>
          <o:OLEObject Type="Embed" ProgID="Equation.3" ShapeID="_x0000_i1055" DrawAspect="Content" ObjectID="_1581919685" r:id="rId66"/>
        </w:object>
      </w:r>
      <w:r>
        <w:rPr>
          <w:b w:val="0"/>
          <w:sz w:val="22"/>
          <w:szCs w:val="22"/>
          <w:u w:val="none"/>
        </w:rPr>
        <w:t xml:space="preserve">  - znamená patrí do intervalu </w:t>
      </w:r>
    </w:p>
    <w:p w:rsidR="00362AA2" w:rsidRPr="001E2EAF" w:rsidRDefault="00362AA2" w:rsidP="00362AA2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)  - nepatrí do intervalu</w:t>
      </w:r>
    </w:p>
    <w:p w:rsidR="00362AA2" w:rsidRPr="00066645" w:rsidRDefault="00362AA2" w:rsidP="00362AA2">
      <w:pPr>
        <w:pStyle w:val="Default"/>
        <w:rPr>
          <w:color w:val="auto"/>
          <w:sz w:val="23"/>
          <w:szCs w:val="23"/>
        </w:rPr>
      </w:pPr>
      <w:r w:rsidRPr="00066645">
        <w:rPr>
          <w:color w:val="auto"/>
          <w:sz w:val="23"/>
          <w:szCs w:val="23"/>
        </w:rPr>
        <w:lastRenderedPageBreak/>
        <w:t>Výsledky Testovania 9-201</w:t>
      </w:r>
      <w:r w:rsidR="00550B1C">
        <w:rPr>
          <w:color w:val="auto"/>
          <w:sz w:val="23"/>
          <w:szCs w:val="23"/>
        </w:rPr>
        <w:t>8</w:t>
      </w:r>
      <w:r w:rsidRPr="00066645">
        <w:rPr>
          <w:color w:val="auto"/>
          <w:sz w:val="23"/>
          <w:szCs w:val="23"/>
        </w:rPr>
        <w:t xml:space="preserve"> (osobitne zo slovenského j</w:t>
      </w:r>
      <w:r>
        <w:rPr>
          <w:color w:val="auto"/>
          <w:sz w:val="23"/>
          <w:szCs w:val="23"/>
        </w:rPr>
        <w:t>azyka a osobitne z matematiky):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25"/>
      </w:tblGrid>
      <w:tr w:rsidR="00362AA2" w:rsidRPr="00513CE9" w:rsidTr="007030F6">
        <w:trPr>
          <w:trHeight w:val="88"/>
        </w:trPr>
        <w:tc>
          <w:tcPr>
            <w:tcW w:w="7325" w:type="dxa"/>
          </w:tcPr>
          <w:p w:rsidR="00362AA2" w:rsidRPr="00365BA9" w:rsidRDefault="00362AA2" w:rsidP="007030F6">
            <w:pPr>
              <w:pStyle w:val="Default"/>
              <w:rPr>
                <w:color w:val="auto"/>
                <w:sz w:val="22"/>
                <w:szCs w:val="22"/>
              </w:rPr>
            </w:pPr>
            <w:r w:rsidRPr="00365BA9">
              <w:rPr>
                <w:color w:val="auto"/>
                <w:sz w:val="22"/>
                <w:szCs w:val="22"/>
              </w:rPr>
              <w:t>Za každé jedno percen</w:t>
            </w:r>
            <w:r>
              <w:rPr>
                <w:color w:val="auto"/>
                <w:sz w:val="22"/>
                <w:szCs w:val="22"/>
              </w:rPr>
              <w:t>to sa žiakovi pripočíta 0,3 bodu</w:t>
            </w:r>
            <w:r w:rsidRPr="00365BA9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362AA2" w:rsidRDefault="00362AA2" w:rsidP="00362AA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 prípade rovnosti bodov platia ďalšie kritéria:</w:t>
      </w:r>
    </w:p>
    <w:p w:rsidR="00362AA2" w:rsidRDefault="00362AA2" w:rsidP="00362AA2">
      <w:pPr>
        <w:pStyle w:val="Nzov"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uchádzači so zmenenou pracovnou schopnosťou budú podľa rozhodnutia posudkovej komisie prednostne prijatí</w:t>
      </w:r>
    </w:p>
    <w:p w:rsidR="00362AA2" w:rsidRDefault="00362AA2" w:rsidP="00362AA2">
      <w:pPr>
        <w:pStyle w:val="Nzov"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uchádzači, ktorí sú úspešnými riešiteľmi predmetovej olympiády a súťaží na úrovni okresu a vyššie budú prednostne prijatí (platí originál dokladu), ktorá súvisí s daným odborom</w:t>
      </w:r>
    </w:p>
    <w:p w:rsidR="00362AA2" w:rsidRDefault="00362AA2" w:rsidP="00362AA2">
      <w:pPr>
        <w:pStyle w:val="Nzov"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polroku 9. ročníka</w:t>
      </w:r>
    </w:p>
    <w:p w:rsidR="00362AA2" w:rsidRDefault="00362AA2" w:rsidP="00362AA2">
      <w:pPr>
        <w:pStyle w:val="Nzov"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konci 8. ročníka</w:t>
      </w:r>
    </w:p>
    <w:p w:rsidR="00362AA2" w:rsidRDefault="00362AA2" w:rsidP="00362AA2">
      <w:pPr>
        <w:pStyle w:val="Nzov"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konci 7. ročníka</w:t>
      </w:r>
    </w:p>
    <w:p w:rsidR="00362AA2" w:rsidRPr="00AC382C" w:rsidRDefault="00362AA2" w:rsidP="00362AA2">
      <w:pPr>
        <w:pStyle w:val="Nzov"/>
        <w:spacing w:before="0" w:line="240" w:lineRule="auto"/>
        <w:ind w:left="720"/>
        <w:jc w:val="both"/>
        <w:rPr>
          <w:b w:val="0"/>
          <w:sz w:val="22"/>
          <w:szCs w:val="22"/>
          <w:u w:val="none"/>
        </w:rPr>
      </w:pPr>
    </w:p>
    <w:p w:rsidR="00362AA2" w:rsidRDefault="00362AA2" w:rsidP="00362AA2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4. Zdravotné požiadavky:</w:t>
      </w:r>
    </w:p>
    <w:p w:rsidR="00362AA2" w:rsidRDefault="00362AA2" w:rsidP="00362AA2">
      <w:pPr>
        <w:spacing w:line="240" w:lineRule="auto"/>
        <w:ind w:firstLine="708"/>
        <w:rPr>
          <w:sz w:val="22"/>
          <w:u w:val="single"/>
        </w:rPr>
      </w:pPr>
      <w:r>
        <w:rPr>
          <w:sz w:val="22"/>
          <w:u w:val="single"/>
        </w:rPr>
        <w:t>Do učebného odboru môžu byť prijatí iba uchádzači, ktorých zdravotnú spôsobilosť posúdil a písomne potvrdil lekár.</w:t>
      </w:r>
    </w:p>
    <w:p w:rsidR="00362AA2" w:rsidRDefault="00362AA2" w:rsidP="00362AA2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Osobitné požiadavky na uchádzača pre zameranie 2487 H 01 </w:t>
      </w:r>
      <w:proofErr w:type="spellStart"/>
      <w:r>
        <w:rPr>
          <w:b/>
          <w:sz w:val="22"/>
        </w:rPr>
        <w:t>autoopravár</w:t>
      </w:r>
      <w:proofErr w:type="spellEnd"/>
      <w:r>
        <w:rPr>
          <w:b/>
          <w:sz w:val="22"/>
        </w:rPr>
        <w:t xml:space="preserve"> – mechanik </w:t>
      </w:r>
    </w:p>
    <w:p w:rsidR="00362AA2" w:rsidRDefault="00362AA2" w:rsidP="00362AA2">
      <w:pPr>
        <w:spacing w:line="240" w:lineRule="auto"/>
        <w:ind w:firstLine="708"/>
        <w:rPr>
          <w:sz w:val="22"/>
        </w:rPr>
      </w:pPr>
      <w:r>
        <w:rPr>
          <w:sz w:val="22"/>
        </w:rPr>
        <w:t>Do učebného odboru môžu byť prijatí uchádzači, ktorí nemajú chronické a alergické ochorenia dýchacích ciest a kože. Taktiež prekážajú pretrvávajúce ochorenie sprevádzané poruchami pohybových funkcií a koordinácií, záchvatové stavy (kontraindikácie pre epileptika), závažné poruchy zraku a sluchu.</w:t>
      </w:r>
    </w:p>
    <w:p w:rsidR="00362AA2" w:rsidRDefault="00362AA2" w:rsidP="00362AA2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Osobitné požiadavky na uchádzača pre zameranie 2464 H strojný mechanik, 3678 H inštalatér, 2433 H obrábač kovov    </w:t>
      </w:r>
    </w:p>
    <w:p w:rsidR="00362AA2" w:rsidRDefault="00362AA2" w:rsidP="00362AA2">
      <w:pPr>
        <w:spacing w:line="240" w:lineRule="auto"/>
        <w:ind w:firstLine="360"/>
        <w:rPr>
          <w:sz w:val="22"/>
        </w:rPr>
      </w:pPr>
      <w:r>
        <w:rPr>
          <w:sz w:val="22"/>
        </w:rPr>
        <w:t xml:space="preserve">Do učebného odboru môžu byť prijatí uchádzači, ktorí majú neporušenú pohybovú sústavu, netrpia záchvatovými stavmi (epilepsia), nemajú kožné choroby, zvýšenú citlivosť na chemické a mechanické dráždenie, závažné poruchy zraku a sluchu. </w:t>
      </w:r>
    </w:p>
    <w:p w:rsidR="00362AA2" w:rsidRDefault="00362AA2" w:rsidP="00362AA2">
      <w:pPr>
        <w:spacing w:line="240" w:lineRule="auto"/>
        <w:rPr>
          <w:b/>
          <w:sz w:val="22"/>
        </w:rPr>
      </w:pPr>
      <w:r>
        <w:rPr>
          <w:b/>
          <w:sz w:val="22"/>
        </w:rPr>
        <w:t>Osobitné požiadavky na uchádzača pre zameranie 2683 H 11 elektromechanik – silnoprúdová technika</w:t>
      </w:r>
    </w:p>
    <w:p w:rsidR="00362AA2" w:rsidRDefault="00362AA2" w:rsidP="00362AA2">
      <w:pPr>
        <w:spacing w:line="240" w:lineRule="auto"/>
        <w:ind w:firstLine="360"/>
        <w:rPr>
          <w:sz w:val="22"/>
        </w:rPr>
      </w:pPr>
      <w:r>
        <w:rPr>
          <w:sz w:val="22"/>
        </w:rPr>
        <w:t xml:space="preserve">Do učebného odboru môžu byť prijatí uchádzači, ktorí majú neporušenú pohybovú sústavu, netrpia záchvatovými stavmi (epilepsia), nemajú vážne poruchy srdca a obehového systému, závažné poruchy zraku a sluchu. </w:t>
      </w:r>
    </w:p>
    <w:p w:rsidR="00362AA2" w:rsidRDefault="00362AA2" w:rsidP="00362AA2">
      <w:pPr>
        <w:pStyle w:val="Nzov"/>
        <w:spacing w:before="0" w:line="240" w:lineRule="auto"/>
        <w:jc w:val="both"/>
        <w:rPr>
          <w:i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40" w:lineRule="auto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5. Záverečné ustanovenia:</w:t>
      </w:r>
    </w:p>
    <w:p w:rsidR="00362AA2" w:rsidRDefault="00362AA2" w:rsidP="00362AA2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prijímacieho konania bu</w:t>
      </w:r>
      <w:r w:rsidR="004E5F96">
        <w:rPr>
          <w:b w:val="0"/>
          <w:sz w:val="22"/>
          <w:szCs w:val="22"/>
          <w:u w:val="none"/>
        </w:rPr>
        <w:t>dú zverejnené do 30. apríla 2018</w:t>
      </w:r>
      <w:r>
        <w:rPr>
          <w:b w:val="0"/>
          <w:sz w:val="22"/>
          <w:szCs w:val="22"/>
          <w:u w:val="none"/>
        </w:rPr>
        <w:t xml:space="preserve"> na nástenke školy. </w:t>
      </w:r>
    </w:p>
    <w:p w:rsidR="00362AA2" w:rsidRDefault="00362AA2" w:rsidP="00362AA2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Rozhodnutie o prijatí uchádzača odošle</w:t>
      </w:r>
      <w:r w:rsidR="004E5F96">
        <w:rPr>
          <w:b w:val="0"/>
          <w:sz w:val="22"/>
          <w:szCs w:val="22"/>
          <w:u w:val="none"/>
        </w:rPr>
        <w:t xml:space="preserve"> riaditeľ školy do 0</w:t>
      </w:r>
      <w:r w:rsidR="00B061AE">
        <w:rPr>
          <w:b w:val="0"/>
          <w:sz w:val="22"/>
          <w:szCs w:val="22"/>
          <w:u w:val="none"/>
        </w:rPr>
        <w:t>4</w:t>
      </w:r>
      <w:r w:rsidR="004E5F96">
        <w:rPr>
          <w:b w:val="0"/>
          <w:sz w:val="22"/>
          <w:szCs w:val="22"/>
          <w:u w:val="none"/>
        </w:rPr>
        <w:t>. mája 2018</w:t>
      </w:r>
      <w:r>
        <w:rPr>
          <w:b w:val="0"/>
          <w:sz w:val="22"/>
          <w:szCs w:val="22"/>
          <w:u w:val="none"/>
        </w:rPr>
        <w:t xml:space="preserve">. </w:t>
      </w:r>
    </w:p>
    <w:p w:rsidR="00362AA2" w:rsidRDefault="00362AA2" w:rsidP="00362AA2">
      <w:pPr>
        <w:pStyle w:val="Nzov"/>
        <w:numPr>
          <w:ilvl w:val="0"/>
          <w:numId w:val="4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Zápis prijatých uchádzačov sa uskutoční v termíne určenom riaditeľom školy, ktorý bude uvedený na rozhodnutí o prijatí.</w:t>
      </w:r>
    </w:p>
    <w:p w:rsidR="00362AA2" w:rsidRDefault="00362AA2" w:rsidP="00362AA2">
      <w:pPr>
        <w:pStyle w:val="Nzov"/>
        <w:numPr>
          <w:ilvl w:val="0"/>
          <w:numId w:val="4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Ak sa prijatý uchádzač nezapíše v určenom termíne, zruší sa jeho rozhodnutie o prijatí a voľné miesto sa ponúkne ďalšiemu uchádzačovi podľa bodového poradia.</w:t>
      </w:r>
    </w:p>
    <w:p w:rsidR="00362AA2" w:rsidRDefault="00362AA2" w:rsidP="00362AA2">
      <w:pPr>
        <w:rPr>
          <w:sz w:val="22"/>
        </w:rPr>
      </w:pPr>
    </w:p>
    <w:p w:rsidR="00362AA2" w:rsidRDefault="00362AA2" w:rsidP="00362AA2">
      <w:pPr>
        <w:rPr>
          <w:sz w:val="22"/>
        </w:rPr>
      </w:pPr>
    </w:p>
    <w:p w:rsidR="00362AA2" w:rsidRDefault="00362AA2" w:rsidP="00362AA2">
      <w:pPr>
        <w:rPr>
          <w:sz w:val="22"/>
        </w:rPr>
      </w:pPr>
    </w:p>
    <w:p w:rsidR="00362AA2" w:rsidRDefault="00362AA2" w:rsidP="00362AA2">
      <w:pPr>
        <w:rPr>
          <w:sz w:val="22"/>
        </w:rPr>
      </w:pPr>
    </w:p>
    <w:p w:rsidR="00362AA2" w:rsidRDefault="00362AA2" w:rsidP="00362AA2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František Kajánek, </w:t>
      </w:r>
      <w:proofErr w:type="spellStart"/>
      <w:r>
        <w:rPr>
          <w:sz w:val="22"/>
        </w:rPr>
        <w:t>v.r</w:t>
      </w:r>
      <w:proofErr w:type="spellEnd"/>
      <w:r>
        <w:rPr>
          <w:sz w:val="22"/>
        </w:rPr>
        <w:t>.</w:t>
      </w:r>
    </w:p>
    <w:p w:rsidR="00362AA2" w:rsidRDefault="00362AA2" w:rsidP="00362AA2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riaditeľ školy</w:t>
      </w: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Prijímacia komisia:</w:t>
      </w: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1, Mgr. Tibor Lukáč, </w:t>
      </w:r>
      <w:proofErr w:type="spellStart"/>
      <w:r>
        <w:rPr>
          <w:b w:val="0"/>
          <w:sz w:val="22"/>
          <w:szCs w:val="22"/>
          <w:u w:val="none"/>
        </w:rPr>
        <w:t>v.r</w:t>
      </w:r>
      <w:proofErr w:type="spellEnd"/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2, Ing. Dana </w:t>
      </w:r>
      <w:proofErr w:type="spellStart"/>
      <w:r>
        <w:rPr>
          <w:b w:val="0"/>
          <w:sz w:val="22"/>
          <w:szCs w:val="22"/>
          <w:u w:val="none"/>
        </w:rPr>
        <w:t>Garajová</w:t>
      </w:r>
      <w:proofErr w:type="spellEnd"/>
      <w:r>
        <w:rPr>
          <w:b w:val="0"/>
          <w:sz w:val="22"/>
          <w:szCs w:val="22"/>
          <w:u w:val="none"/>
        </w:rPr>
        <w:t xml:space="preserve">, </w:t>
      </w:r>
      <w:proofErr w:type="spellStart"/>
      <w:r>
        <w:rPr>
          <w:b w:val="0"/>
          <w:sz w:val="22"/>
          <w:szCs w:val="22"/>
          <w:u w:val="none"/>
        </w:rPr>
        <w:t>v.r</w:t>
      </w:r>
      <w:proofErr w:type="spellEnd"/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362AA2" w:rsidRDefault="00362AA2" w:rsidP="00362AA2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3, Mgr. Renáta Kolenová, </w:t>
      </w:r>
      <w:proofErr w:type="spellStart"/>
      <w:r>
        <w:rPr>
          <w:b w:val="0"/>
          <w:sz w:val="22"/>
          <w:szCs w:val="22"/>
          <w:u w:val="none"/>
        </w:rPr>
        <w:t>v.r</w:t>
      </w:r>
      <w:proofErr w:type="spellEnd"/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362AA2" w:rsidRDefault="00362AA2" w:rsidP="00362AA2">
      <w:pPr>
        <w:pStyle w:val="Nzov"/>
        <w:spacing w:before="0" w:line="240" w:lineRule="auto"/>
        <w:jc w:val="left"/>
        <w:rPr>
          <w:b w:val="0"/>
          <w:sz w:val="22"/>
          <w:szCs w:val="22"/>
          <w:u w:val="none"/>
        </w:rPr>
      </w:pPr>
    </w:p>
    <w:sectPr w:rsidR="00362AA2" w:rsidSect="0091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702"/>
    <w:multiLevelType w:val="hybridMultilevel"/>
    <w:tmpl w:val="F55C6E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F29A5"/>
    <w:multiLevelType w:val="hybridMultilevel"/>
    <w:tmpl w:val="3BFEE6E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F364D"/>
    <w:multiLevelType w:val="hybridMultilevel"/>
    <w:tmpl w:val="51D489F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133D56"/>
    <w:multiLevelType w:val="hybridMultilevel"/>
    <w:tmpl w:val="9C36601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AA2"/>
    <w:rsid w:val="000A6339"/>
    <w:rsid w:val="001A04CA"/>
    <w:rsid w:val="00362AA2"/>
    <w:rsid w:val="004E5F96"/>
    <w:rsid w:val="004F4F3D"/>
    <w:rsid w:val="00550B1C"/>
    <w:rsid w:val="00593600"/>
    <w:rsid w:val="005C3C8E"/>
    <w:rsid w:val="00633406"/>
    <w:rsid w:val="00857648"/>
    <w:rsid w:val="00911F08"/>
    <w:rsid w:val="00B061AE"/>
    <w:rsid w:val="00D60234"/>
    <w:rsid w:val="00DA46B7"/>
    <w:rsid w:val="00DE168B"/>
    <w:rsid w:val="00E1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AA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62AA2"/>
    <w:pPr>
      <w:overflowPunct w:val="0"/>
      <w:autoSpaceDE w:val="0"/>
      <w:autoSpaceDN w:val="0"/>
      <w:adjustRightInd w:val="0"/>
      <w:spacing w:before="120" w:line="480" w:lineRule="atLeast"/>
      <w:jc w:val="center"/>
    </w:pPr>
    <w:rPr>
      <w:rFonts w:eastAsia="Times New Roman" w:cs="Times New Roman"/>
      <w:b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62AA2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table" w:styleId="Mriekatabuky">
    <w:name w:val="Table Grid"/>
    <w:basedOn w:val="Normlnatabuka"/>
    <w:uiPriority w:val="39"/>
    <w:rsid w:val="0036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Admin</cp:lastModifiedBy>
  <cp:revision>11</cp:revision>
  <dcterms:created xsi:type="dcterms:W3CDTF">2017-02-28T06:26:00Z</dcterms:created>
  <dcterms:modified xsi:type="dcterms:W3CDTF">2018-03-07T08:20:00Z</dcterms:modified>
</cp:coreProperties>
</file>